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“科学与中国”活动规范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为</w:t>
      </w: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确保“科学与中国”活动规范高效，现制定活动规范如下。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-11" w:firstLine="641"/>
        <w:jc w:val="left"/>
        <w:textAlignment w:val="auto"/>
        <w:rPr>
          <w:rFonts w:ascii="黑体" w:eastAsia="黑体" w:hAnsi="黑体" w:cs="Times New Roman"/>
          <w:b w:val="0"/>
          <w:bCs/>
          <w:sz w:val="32"/>
          <w:szCs w:val="32"/>
        </w:rPr>
      </w:pPr>
      <w:r>
        <w:rPr>
          <w:rFonts w:ascii="黑体" w:eastAsia="黑体" w:hAnsi="黑体" w:cs="Times New Roman" w:hint="eastAsia"/>
          <w:b w:val="0"/>
          <w:bCs/>
          <w:sz w:val="32"/>
          <w:szCs w:val="32"/>
        </w:rPr>
        <w:t xml:space="preserve">加强组织引导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坚持正确的政治方向，高举科学旗帜，弘扬科学精神和科学家精神，将培育弘扬社会主义核心价值观融入科普活动全过程，传递科学的思想观念和行为方式。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坚持公益属性，不得用于任何形式的商业行为。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尊重和保护知识产权，院士专家科普内容需经本人同意后方可公开传播。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围绕国家战略和地方需求，有针对性地邀请院士专家组织开展形式多样的科普活动。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坚持程序规范，通过“科学与中国”数字化服务平台进行活动报备，方可以“科学与中国”名义组织活动，使用相关标识。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活动结束后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30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日内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，须将组织的“科学与中国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”院士专家科普报告相关数据提交至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“科学与中国”数字化服务平台。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-11" w:firstLine="641"/>
        <w:jc w:val="left"/>
        <w:textAlignment w:val="auto"/>
        <w:rPr>
          <w:rFonts w:ascii="黑体" w:eastAsia="黑体" w:hAnsi="黑体" w:cs="Times New Roman" w:hint="eastAsia"/>
          <w:b w:val="0"/>
          <w:bCs/>
          <w:sz w:val="32"/>
          <w:szCs w:val="32"/>
        </w:rPr>
      </w:pPr>
      <w:r>
        <w:rPr>
          <w:rFonts w:ascii="黑体" w:eastAsia="黑体" w:hAnsi="黑体" w:cs="Times New Roman" w:hint="eastAsia"/>
          <w:b w:val="0"/>
          <w:bCs/>
          <w:sz w:val="32"/>
          <w:szCs w:val="32"/>
        </w:rPr>
        <w:t xml:space="preserve">做好宣传报道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eastAsia"/>
          <w:sz w:val="32"/>
          <w:szCs w:val="32"/>
          <w:highlight w:val="none"/>
        </w:rPr>
        <w:t xml:space="preserve">制定宣传方案，活动主题统一为“科学与中国”</w:t>
      </w:r>
      <w:r>
        <w:rPr>
          <w:rFonts w:ascii="Times New Roman" w:eastAsia="仿宋_GB2312" w:hAnsi="Times New Roman" w:cs="Times New Roman"/>
          <w:sz w:val="32"/>
          <w:szCs w:val="32"/>
          <w:highlight w:val="none"/>
        </w:rPr>
        <w:t xml:space="preserve">XX</w:t>
      </w:r>
      <w:r>
        <w:rPr>
          <w:rFonts w:ascii="Times New Roman" w:eastAsia="仿宋_GB2312" w:hAnsi="Times New Roman" w:cs="Times New Roman" w:hint="eastAsia"/>
          <w:sz w:val="32"/>
          <w:szCs w:val="32"/>
          <w:highlight w:val="none"/>
        </w:rPr>
        <w:t xml:space="preserve">行，活动海报等宣传物料及院士专家报告</w:t>
      </w:r>
      <w:r>
        <w:rPr>
          <w:rFonts w:ascii="Times New Roman" w:eastAsia="仿宋_GB2312" w:hAnsi="Times New Roman" w:cs="Times New Roman"/>
          <w:sz w:val="32"/>
          <w:szCs w:val="32"/>
          <w:highlight w:val="none"/>
        </w:rPr>
        <w:t xml:space="preserve">PPT</w:t>
      </w:r>
      <w:r>
        <w:rPr>
          <w:rFonts w:ascii="Times New Roman" w:eastAsia="仿宋_GB2312" w:hAnsi="Times New Roman" w:cs="Times New Roman" w:hint="eastAsia"/>
          <w:sz w:val="32"/>
          <w:szCs w:val="32"/>
          <w:highlight w:val="none"/>
        </w:rPr>
        <w:t xml:space="preserve">应标有“科学与中国”或“科学与中国——千名院士·千场科普”活动标识。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涉及院士专家观点和报告内容的报道应提请院士专家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本人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各组织单位可联动传统媒体及网络平台进行传播，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也可依托科学大院、中科院之声和中国科普博览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、国家开放大学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全媒体矩阵进行多渠道深度传播。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鼓励拍摄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当次活动中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具有趣味性、互动性的短视频，剪辑活动精彩瞬间，在新媒体平台进行二次传播。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5. 活动相关报道链接，请于活动结束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个工作日内上传至“科学与中国”数字化服务平台，相关报道将择优在“科学与中国”官网展示。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420" w:firstLine="320" w:leftChars="200" w:firstLineChars="100"/>
        <w:textAlignment w:val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 w:val="0"/>
          <w:bCs/>
          <w:sz w:val="32"/>
          <w:szCs w:val="32"/>
        </w:rPr>
        <w:t xml:space="preserve">三、稳妥开展活动直播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各组织单位可与参加活动的院士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沟通协调，确定是否开展直播活动。如开展，应注意以下事项：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直播前应进行测试，保证直播各环节流畅，保障直播设备完好和充足的网络带宽，并做好应急预案。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直播画面右上角应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带有“科学与中国”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标识。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建议关闭直播回放功能。对直播进行录制，后期进行剪辑处理。处理后的视频再上传和回放。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直播时间应晚于活动开始时间，延迟时间不少于3分钟，以便应对临时、突发情况，及时调整直播画面。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在直播过程中，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应关注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直播用户互动或留言评论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，确保活动效果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630" w:leftChars="0"/>
        <w:jc w:val="left"/>
        <w:textAlignment w:val="auto"/>
        <w:rPr>
          <w:rFonts w:ascii="黑体" w:eastAsia="黑体" w:hAnsi="黑体" w:cs="Times New Roman" w:hint="eastAsia"/>
          <w:b w:val="0"/>
          <w:bCs/>
          <w:sz w:val="32"/>
          <w:szCs w:val="32"/>
        </w:rPr>
      </w:pPr>
      <w:r>
        <w:rPr>
          <w:rFonts w:ascii="黑体" w:eastAsia="黑体" w:hAnsi="黑体" w:cs="Times New Roman" w:hint="eastAsia"/>
          <w:b w:val="0"/>
          <w:bCs/>
          <w:sz w:val="32"/>
          <w:szCs w:val="32"/>
        </w:rPr>
        <w:t xml:space="preserve">四、其他</w:t>
      </w:r>
    </w:p>
    <w:p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活动产生的相关成果知识产权由“科学与中国”组委会、报告人共有，并支持“科学与中国”及相关网站、小程序等渠道公开播放（如不支持公开播放，请标明）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abstractNum w:abstractNumId="3">
    <w:multiLevelType w:val="singleLevel"/>
    <w:lvl w:ilvl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4">
    <w:multiLevelType w:val="singleLevel"/>
    <w:lvl w:ilvl="0">
      <w:start w:val="1"/>
      <w:numFmt w:val="decimal"/>
      <w:suff w:val="space"/>
      <w:lvlText w:val="%1."/>
      <w:lvlJc w:val="left"/>
      <w:rPr/>
    </w:lvl>
  </w:abstractNum>
  <w:abstractNum w:abstractNumId="5">
    <w:multiLevelType w:val="singleLevel"/>
    <w:lvl w:ilvl="0">
      <w:start w:val="1"/>
      <w:numFmt w:val="decimal"/>
      <w:suff w:val="space"/>
      <w:lvlText w:val="%1."/>
      <w:lvlJc w:val="left"/>
      <w:pPr>
        <w:ind w:left="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embedSystem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eyJoZGlkIjoiN2ExZjMyODE0NjdiNDI1MTZlYzliMDA1ODE2MzYyMTAiLCJ1c2VySWQiOiIyODM5MzQ0MDkifQ==</vt:lpwstr>
  </property>
  <property fmtid="{D5CDD505-2E9C-101B-9397-08002B2CF9AE}" pid="4" name="ICV">
    <vt:lpwstr>1F8F8FBE56EC4552B9D2CE2CEF7B3CA6_12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0</Words>
  <Characters>0</Characters>
  <Application>WPS Office_12.1.0.21915_F1E327BC-269C-435d-A152-05C5408002CA</Application>
  <DocSecurity>0</DocSecurity>
  <Lines>0</Lines>
  <Paragraphs>0</Paragraphs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86131</dc:creator>
  <cp:lastModifiedBy>chen.</cp:lastModifiedBy>
  <cp:revision>1</cp:revision>
  <cp:lastPrinted>2025-07-29T06:21:43Z</cp:lastPrinted>
  <dcterms:created xsi:type="dcterms:W3CDTF">2025-07-29T06:13:23Z</dcterms:created>
  <dcterms:modified xsi:type="dcterms:W3CDTF">2025-07-29T07:15:46Z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eyJoZGlkIjoiN2ExZjMyODE0NjdiNDI1MTZlYzliMDA1ODE2MzYyMTAiLCJ1c2VySWQiOiIyODM5MzQ0MDkifQ_x003D__x003D_</vt:lpwstr>
  </property>
  <property fmtid="{D5CDD505-2E9C-101B-9397-08002B2CF9AE}" pid="4" name="ICV">
    <vt:lpwstr>1F8F8FBE56EC4552B9D2CE2CEF7B3CA6_12</vt:lpwstr>
  </property>
</Properties>
</file>