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先进党支部（总支）登记表</w:t>
      </w: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 xml:space="preserve">年 </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月 </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 xml:space="preserve"> 日</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637"/>
        <w:gridCol w:w="1695"/>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560" w:type="dxa"/>
            <w:shd w:val="clear" w:color="auto" w:fill="auto"/>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名    称</w:t>
            </w:r>
          </w:p>
        </w:tc>
        <w:tc>
          <w:tcPr>
            <w:tcW w:w="2637" w:type="dxa"/>
            <w:shd w:val="clear" w:color="auto" w:fill="auto"/>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农业党支部</w:t>
            </w:r>
          </w:p>
        </w:tc>
        <w:tc>
          <w:tcPr>
            <w:tcW w:w="1695" w:type="dxa"/>
            <w:shd w:val="clear" w:color="auto" w:fill="auto"/>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 责 人</w:t>
            </w:r>
          </w:p>
        </w:tc>
        <w:tc>
          <w:tcPr>
            <w:tcW w:w="2630" w:type="dxa"/>
            <w:shd w:val="clear" w:color="auto" w:fill="auto"/>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吕晓涛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60" w:type="dxa"/>
            <w:shd w:val="clear" w:color="auto" w:fill="auto"/>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党员数量</w:t>
            </w:r>
          </w:p>
        </w:tc>
        <w:tc>
          <w:tcPr>
            <w:tcW w:w="2637" w:type="dxa"/>
            <w:shd w:val="clear" w:color="auto" w:fill="auto"/>
            <w:noWrap w:val="0"/>
            <w:vAlign w:val="center"/>
          </w:tcPr>
          <w:p>
            <w:pPr>
              <w:jc w:val="center"/>
              <w:rPr>
                <w:rFonts w:hint="default"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35</w:t>
            </w:r>
          </w:p>
        </w:tc>
        <w:tc>
          <w:tcPr>
            <w:tcW w:w="1695" w:type="dxa"/>
            <w:shd w:val="clear" w:color="auto" w:fill="auto"/>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所在单位</w:t>
            </w:r>
          </w:p>
        </w:tc>
        <w:tc>
          <w:tcPr>
            <w:tcW w:w="2630" w:type="dxa"/>
            <w:shd w:val="clear" w:color="auto" w:fill="auto"/>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沈阳应用生态所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主</w:t>
            </w: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sz w:val="28"/>
                <w:szCs w:val="28"/>
              </w:rPr>
              <w:t>要</w:t>
            </w: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sz w:val="28"/>
                <w:szCs w:val="28"/>
              </w:rPr>
              <w:t>事</w:t>
            </w: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default" w:ascii="Times New Roman" w:hAnsi="Times New Roman" w:eastAsia="仿宋_GB2312" w:cs="Times New Roman"/>
                <w:sz w:val="28"/>
                <w:szCs w:val="28"/>
              </w:rPr>
            </w:pPr>
            <w:r>
              <w:rPr>
                <w:rFonts w:hint="eastAsia" w:ascii="仿宋_GB2312" w:eastAsia="仿宋_GB2312"/>
                <w:sz w:val="28"/>
                <w:szCs w:val="28"/>
              </w:rPr>
              <w:t>迹</w:t>
            </w:r>
          </w:p>
        </w:tc>
        <w:tc>
          <w:tcPr>
            <w:tcW w:w="6962" w:type="dxa"/>
            <w:gridSpan w:val="3"/>
            <w:shd w:val="clear" w:color="auto" w:fill="auto"/>
            <w:noWrap w:val="0"/>
            <w:vAlign w:val="top"/>
          </w:tcPr>
          <w:p>
            <w:pPr>
              <w:numPr>
                <w:ilvl w:val="0"/>
                <w:numId w:val="1"/>
              </w:numPr>
              <w:jc w:val="both"/>
              <w:rPr>
                <w:rFonts w:hint="eastAsia" w:eastAsia="仿宋_GB2312" w:cs="Times New Roman"/>
                <w:b/>
                <w:bCs/>
                <w:sz w:val="28"/>
                <w:szCs w:val="28"/>
                <w:lang w:val="en-US" w:eastAsia="zh-CN"/>
              </w:rPr>
            </w:pPr>
            <w:r>
              <w:rPr>
                <w:rFonts w:hint="eastAsia" w:eastAsia="仿宋_GB2312" w:cs="Times New Roman"/>
                <w:b/>
                <w:bCs/>
                <w:sz w:val="28"/>
                <w:szCs w:val="28"/>
                <w:lang w:val="en-US" w:eastAsia="zh-CN"/>
              </w:rPr>
              <w:t>政治功能强基础</w:t>
            </w:r>
          </w:p>
          <w:p>
            <w:pPr>
              <w:numPr>
                <w:numId w:val="0"/>
              </w:numPr>
              <w:ind w:firstLine="480" w:firstLineChars="200"/>
              <w:jc w:val="both"/>
              <w:rPr>
                <w:rFonts w:hint="eastAsia" w:eastAsia="仿宋_GB2312" w:cs="Times New Roman"/>
                <w:sz w:val="24"/>
                <w:szCs w:val="24"/>
                <w:lang w:val="en-US" w:eastAsia="zh-CN"/>
              </w:rPr>
            </w:pPr>
            <w:r>
              <w:rPr>
                <w:rFonts w:hint="eastAsia" w:eastAsia="仿宋_GB2312" w:cs="Times New Roman"/>
                <w:sz w:val="24"/>
                <w:szCs w:val="24"/>
                <w:lang w:val="en-US" w:eastAsia="zh-CN"/>
              </w:rPr>
              <w:t>作为科研一线的基层党支部，中国科学院沈阳应用生态研究所农业党支部不断提高政治站位，始终把学习贯彻落实习近平新时代中国特色社会主义思想作为首要政治任务，充分利用上级党组织开展的集体党课和发放的学习材料、学习强国APP、支部微信群等，并通过“学习竞赛”、“答题竞赛”、“学习标兵评选”等多种活动不断强化党员的政治理论学习，提升全体党员的政治理论水平，在支部内形成了“学、比、赶、超”的生动学习局面。</w:t>
            </w:r>
          </w:p>
          <w:p>
            <w:pPr>
              <w:numPr>
                <w:numId w:val="0"/>
              </w:numPr>
              <w:ind w:firstLine="480" w:firstLineChars="200"/>
              <w:jc w:val="both"/>
              <w:rPr>
                <w:rFonts w:hint="eastAsia" w:eastAsia="仿宋_GB2312" w:cs="Times New Roman"/>
                <w:sz w:val="24"/>
                <w:szCs w:val="24"/>
                <w:lang w:val="en-US" w:eastAsia="zh-CN"/>
              </w:rPr>
            </w:pPr>
            <w:r>
              <w:rPr>
                <w:rFonts w:hint="eastAsia" w:eastAsia="仿宋_GB2312" w:cs="Times New Roman"/>
                <w:sz w:val="24"/>
                <w:szCs w:val="24"/>
                <w:lang w:val="en-US" w:eastAsia="zh-CN"/>
              </w:rPr>
              <w:t>该支部不断创新学习形式，将政治学习与业务开展充分结合起来，在严格执行“三会一课”制度的同时，把支部党员大会、组织生活会、年终总结会开到野外台站、田间地头。近年来，先后组织到辽宁沈阳农田生态系统国家野外科学观测研究站、阜新旱区节水农业科研基地、中科院梨树保护性耕作技术研发基地开展学习和实践活动，结合东北农业生产技术研发实际，组织广大党员深入讨论初心使命的问题，不断筑牢全体党员“不忘初心、牢记使命”的思想根基。</w:t>
            </w:r>
          </w:p>
          <w:p>
            <w:pPr>
              <w:numPr>
                <w:numId w:val="0"/>
              </w:numPr>
              <w:ind w:firstLine="480" w:firstLineChars="200"/>
              <w:jc w:val="both"/>
              <w:rPr>
                <w:rFonts w:hint="default" w:eastAsia="仿宋_GB2312" w:cs="Times New Roman"/>
                <w:sz w:val="24"/>
                <w:szCs w:val="24"/>
                <w:lang w:val="en-US" w:eastAsia="zh-CN"/>
              </w:rPr>
            </w:pPr>
            <w:r>
              <w:rPr>
                <w:rFonts w:hint="eastAsia" w:eastAsia="仿宋_GB2312" w:cs="Times New Roman"/>
                <w:sz w:val="24"/>
                <w:szCs w:val="24"/>
                <w:lang w:val="en-US" w:eastAsia="zh-CN"/>
              </w:rPr>
              <w:t>该支部严格按照上级党组织的要求，以《关于新形势下党内政治生活的若干准则》、《中国共产党支部工作条例（试行）》等党内法规为准绳，严肃党内政治生活。针对部分党员公派出国、每年生长季支部党员野外出差时间较长、工作地点分散等具体情况，积极创新学习方式，通过党小组群学、多人互学、网络自学等方式，深入开展党员学习教育活动，教育引导广大党员牢固树立“四个意识”、坚定“四个自信”、做到“两个维护”。</w:t>
            </w:r>
          </w:p>
          <w:p>
            <w:pPr>
              <w:numPr>
                <w:ilvl w:val="0"/>
                <w:numId w:val="1"/>
              </w:numPr>
              <w:jc w:val="both"/>
              <w:rPr>
                <w:rFonts w:hint="default" w:eastAsia="仿宋_GB2312" w:cs="Times New Roman"/>
                <w:b/>
                <w:bCs/>
                <w:sz w:val="28"/>
                <w:szCs w:val="28"/>
                <w:lang w:val="en-US" w:eastAsia="zh-CN"/>
              </w:rPr>
            </w:pPr>
            <w:r>
              <w:rPr>
                <w:rFonts w:hint="eastAsia" w:eastAsia="仿宋_GB2312" w:cs="Times New Roman"/>
                <w:b/>
                <w:bCs/>
                <w:sz w:val="28"/>
                <w:szCs w:val="28"/>
                <w:lang w:val="en-US" w:eastAsia="zh-CN"/>
              </w:rPr>
              <w:t>班子建设见成效</w:t>
            </w:r>
          </w:p>
          <w:p>
            <w:pPr>
              <w:numPr>
                <w:numId w:val="0"/>
              </w:numPr>
              <w:ind w:firstLine="480" w:firstLineChars="200"/>
              <w:jc w:val="both"/>
              <w:rPr>
                <w:rFonts w:hint="eastAsia" w:eastAsia="仿宋_GB2312" w:cs="Times New Roman"/>
                <w:sz w:val="24"/>
                <w:szCs w:val="24"/>
                <w:lang w:val="en-US" w:eastAsia="zh-CN"/>
              </w:rPr>
            </w:pPr>
            <w:r>
              <w:rPr>
                <w:rFonts w:hint="eastAsia" w:eastAsia="仿宋_GB2312" w:cs="Times New Roman"/>
                <w:sz w:val="24"/>
                <w:szCs w:val="24"/>
                <w:lang w:val="en-US" w:eastAsia="zh-CN"/>
              </w:rPr>
              <w:t>农业党支部重视支委班子建设，以2018年底支部换届为契机，由政治素质高、工作能力强、群众威信高的优秀党员组成了新一届支委会，成员包括研究所农业中心唯一的优青基金获得者、两位研究组组长、三位中科院青促会会员。2018年底和2019年底，农业党支部与农业中心行政班子组织中心全体在职职工召开农业中心年终总结和战略发展研讨会，充分交流业务进展和领域动态，积极谋划重大科技任务争取、重要科研平台建设、重要学科发展方向等关键事项，促进了基层党建工作与科研业务工作深度融合，助力研究所农业生态学和土壤生态学学科建设与发展，成为研究所基层党建工作中的新亮点。</w:t>
            </w:r>
          </w:p>
          <w:p>
            <w:pPr>
              <w:numPr>
                <w:numId w:val="0"/>
              </w:numPr>
              <w:ind w:firstLine="480" w:firstLineChars="200"/>
              <w:jc w:val="both"/>
              <w:rPr>
                <w:rFonts w:hint="eastAsia" w:eastAsia="仿宋_GB2312" w:cs="Times New Roman"/>
                <w:sz w:val="24"/>
                <w:szCs w:val="24"/>
                <w:lang w:val="en-US" w:eastAsia="zh-CN"/>
              </w:rPr>
            </w:pPr>
            <w:r>
              <w:rPr>
                <w:rFonts w:hint="eastAsia" w:eastAsia="仿宋_GB2312" w:cs="Times New Roman"/>
                <w:sz w:val="24"/>
                <w:szCs w:val="24"/>
                <w:lang w:val="en-US" w:eastAsia="zh-CN"/>
              </w:rPr>
              <w:t>农业党支部支委班子积极谋划支部党建工作，利用支委会会议充分研讨、反复论证，并广泛征求广大党员和群众的意见，从农业科研工作的实际出发，做到了党建工作思路明晰、措施明确，取得了较好的效果。因工作出色，该支部被评为研究所2018年度优秀党支部，第一党小组被评为研究所2019年度优秀党小组。</w:t>
            </w:r>
          </w:p>
          <w:p>
            <w:pPr>
              <w:numPr>
                <w:ilvl w:val="0"/>
                <w:numId w:val="1"/>
              </w:numPr>
              <w:jc w:val="both"/>
              <w:rPr>
                <w:rFonts w:hint="default" w:eastAsia="仿宋_GB2312" w:cs="Times New Roman"/>
                <w:b/>
                <w:bCs/>
                <w:sz w:val="28"/>
                <w:szCs w:val="28"/>
                <w:lang w:val="en-US" w:eastAsia="zh-CN"/>
              </w:rPr>
            </w:pPr>
            <w:r>
              <w:rPr>
                <w:rFonts w:hint="eastAsia" w:eastAsia="仿宋_GB2312" w:cs="Times New Roman"/>
                <w:b/>
                <w:bCs/>
                <w:sz w:val="28"/>
                <w:szCs w:val="28"/>
                <w:lang w:val="en-US" w:eastAsia="zh-CN"/>
              </w:rPr>
              <w:t>凝聚队伍做表率</w:t>
            </w:r>
          </w:p>
          <w:p>
            <w:pPr>
              <w:numPr>
                <w:numId w:val="0"/>
              </w:numPr>
              <w:ind w:firstLine="480" w:firstLineChars="200"/>
              <w:jc w:val="both"/>
              <w:rPr>
                <w:rFonts w:hint="eastAsia" w:eastAsia="仿宋_GB2312" w:cs="Times New Roman"/>
                <w:sz w:val="24"/>
                <w:szCs w:val="24"/>
                <w:lang w:val="en-US" w:eastAsia="zh-CN"/>
              </w:rPr>
            </w:pPr>
            <w:r>
              <w:rPr>
                <w:rFonts w:hint="eastAsia" w:eastAsia="仿宋_GB2312" w:cs="Times New Roman"/>
                <w:sz w:val="24"/>
                <w:szCs w:val="24"/>
                <w:lang w:val="en-US" w:eastAsia="zh-CN"/>
              </w:rPr>
              <w:t>农业党支部支委班子始终要求全体党员不断提高自身素质、不忘初心牢记使命、处处发挥先锋模范带头作用。2019年10月，在庆祝建国70周年之际，该支部第一党小组和第三党小组分别在吉林梨树和内蒙古额尔古纳的野外科研基地，带领在站党员和群众开展了别具特色的“为祖国母亲庆生”活动，使大家接受爱国主义教育，进一步激发了大家干事创业、为国奉献的决心。</w:t>
            </w:r>
          </w:p>
          <w:p>
            <w:pPr>
              <w:numPr>
                <w:numId w:val="0"/>
              </w:numPr>
              <w:ind w:firstLine="480" w:firstLineChars="200"/>
              <w:jc w:val="both"/>
              <w:rPr>
                <w:rFonts w:hint="default" w:eastAsia="仿宋_GB2312" w:cs="Times New Roman"/>
                <w:sz w:val="28"/>
                <w:szCs w:val="28"/>
                <w:lang w:val="en-US" w:eastAsia="zh-CN"/>
              </w:rPr>
            </w:pPr>
            <w:r>
              <w:rPr>
                <w:rFonts w:hint="eastAsia" w:eastAsia="仿宋_GB2312" w:cs="Times New Roman"/>
                <w:sz w:val="24"/>
                <w:szCs w:val="24"/>
                <w:lang w:val="en-US" w:eastAsia="zh-CN"/>
              </w:rPr>
              <w:t>近两年来，农业支部积极响应国家号召、结合实际工作深入开展“弘扬爱国奋斗精神、建功立业新时代”活动。支部党员紧密团结在党支部周围，勇于担当、积极作为，先进人物和事迹不断涌现。支部党员武志杰研究员作为国家著名的土壤和肥料专家，积极为国家建言献策，2篇咨询报告被中办采纳，组织并成功申请中国科学院绿色肥料工程实验室、成功争取到世界肥料科学中心落户沈阳应用生态研究所，并荣获辽宁省学术头雁（第一批）称号。解宏图副研究员积极投身到东北农田保护性耕作技术的推广示范工作中，推动新型农田耕作技术落地，助力东北地区农业生产发展和生态文明建设，被评为2019年度“最美沈阳人”。支部多名党员入选辽宁省百千万人才工程、获得辽宁省“兴辽英才计划”项目资助。</w:t>
            </w:r>
          </w:p>
          <w:p>
            <w:pPr>
              <w:numPr>
                <w:ilvl w:val="0"/>
                <w:numId w:val="1"/>
              </w:numPr>
              <w:jc w:val="both"/>
              <w:rPr>
                <w:rFonts w:hint="default" w:eastAsia="仿宋_GB2312" w:cs="Times New Roman"/>
                <w:sz w:val="28"/>
                <w:szCs w:val="28"/>
                <w:lang w:val="en-US" w:eastAsia="zh-CN"/>
              </w:rPr>
            </w:pPr>
            <w:r>
              <w:rPr>
                <w:rFonts w:hint="eastAsia" w:eastAsia="仿宋_GB2312" w:cs="Times New Roman"/>
                <w:b/>
                <w:bCs/>
                <w:sz w:val="28"/>
                <w:szCs w:val="28"/>
                <w:lang w:val="en-US" w:eastAsia="zh-CN"/>
              </w:rPr>
              <w:t>发挥作用出业绩</w:t>
            </w:r>
          </w:p>
          <w:p>
            <w:pPr>
              <w:numPr>
                <w:ilvl w:val="0"/>
                <w:numId w:val="0"/>
              </w:numPr>
              <w:ind w:firstLine="480" w:firstLineChars="200"/>
              <w:jc w:val="both"/>
              <w:rPr>
                <w:rFonts w:hint="default" w:eastAsia="仿宋_GB2312" w:cs="Times New Roman"/>
                <w:sz w:val="24"/>
                <w:szCs w:val="24"/>
                <w:lang w:val="en-US" w:eastAsia="zh-CN"/>
              </w:rPr>
            </w:pPr>
            <w:r>
              <w:rPr>
                <w:rFonts w:hint="eastAsia" w:eastAsia="仿宋_GB2312" w:cs="Times New Roman"/>
                <w:sz w:val="24"/>
                <w:szCs w:val="24"/>
                <w:lang w:val="en-US" w:eastAsia="zh-CN"/>
              </w:rPr>
              <w:t>农业党支部严格贯彻落实党中央关于全面从严治党的要求，不断推进党支部的规范化建设，确保了各项党务工作的有序开展。在此基础上，充分发挥战斗堡垒作用，积极组织谋划重要科研工作，深入践行“三个面向、四个率先”的办院方针，在推动研究所改革创新发展中起到了重要作用。农业党支部积极响应研究所‘集散成聚’的改革措施，以支部党员为核心骨干，组织中心科研人员组建了“农田生态系统生态过程与调控团队”和“草地生态与适应性管理团队”两个创新团队，占全所创新大团队的1/3。其中，“农田团队”推动了国际肥料科学中心正式落户沈阳、获得2019年中科院国际科技合作奖、获批中科院卢嘉锡国际创新团队和院工程实验室。“草地团队”在疫情防控期间不等不靠、积极组织科研队伍，在2020年4月的一个月内连续通过竞争性答辩获得了辽宁省科技重大专项项目和院“草牧业工程”先导A类项目子课题资助，合同经费2000万元。</w:t>
            </w:r>
          </w:p>
          <w:p>
            <w:pPr>
              <w:widowControl w:val="0"/>
              <w:numPr>
                <w:numId w:val="0"/>
              </w:numPr>
              <w:jc w:val="both"/>
              <w:rPr>
                <w:rFonts w:hint="default"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单</w:t>
            </w:r>
          </w:p>
          <w:p>
            <w:pPr>
              <w:jc w:val="center"/>
              <w:rPr>
                <w:rFonts w:hint="eastAsia" w:ascii="仿宋_GB2312" w:eastAsia="仿宋_GB2312"/>
                <w:sz w:val="28"/>
                <w:szCs w:val="28"/>
              </w:rPr>
            </w:pPr>
            <w:r>
              <w:rPr>
                <w:rFonts w:hint="eastAsia" w:ascii="仿宋_GB2312" w:eastAsia="仿宋_GB2312"/>
                <w:sz w:val="28"/>
                <w:szCs w:val="28"/>
              </w:rPr>
              <w:t>位</w:t>
            </w:r>
          </w:p>
          <w:p>
            <w:pPr>
              <w:jc w:val="center"/>
              <w:rPr>
                <w:rFonts w:hint="eastAsia" w:ascii="仿宋_GB2312" w:eastAsia="仿宋_GB2312"/>
                <w:sz w:val="28"/>
                <w:szCs w:val="28"/>
              </w:rPr>
            </w:pPr>
            <w:r>
              <w:rPr>
                <w:rFonts w:hint="eastAsia" w:ascii="仿宋_GB2312" w:eastAsia="仿宋_GB2312"/>
                <w:sz w:val="28"/>
                <w:szCs w:val="28"/>
              </w:rPr>
              <w:t>纪</w:t>
            </w:r>
          </w:p>
          <w:p>
            <w:pPr>
              <w:jc w:val="center"/>
              <w:rPr>
                <w:rFonts w:hint="eastAsia" w:ascii="仿宋_GB2312" w:eastAsia="仿宋_GB2312"/>
                <w:sz w:val="28"/>
                <w:szCs w:val="28"/>
              </w:rPr>
            </w:pPr>
            <w:r>
              <w:rPr>
                <w:rFonts w:hint="eastAsia" w:ascii="仿宋_GB2312" w:eastAsia="仿宋_GB2312"/>
                <w:sz w:val="28"/>
                <w:szCs w:val="28"/>
              </w:rPr>
              <w:t>委</w:t>
            </w:r>
          </w:p>
          <w:p>
            <w:pPr>
              <w:jc w:val="center"/>
              <w:rPr>
                <w:rFonts w:hint="eastAsia" w:ascii="仿宋_GB2312" w:eastAsia="仿宋_GB2312"/>
                <w:sz w:val="28"/>
                <w:szCs w:val="28"/>
              </w:rPr>
            </w:pPr>
            <w:r>
              <w:rPr>
                <w:rFonts w:hint="eastAsia" w:ascii="仿宋_GB2312" w:eastAsia="仿宋_GB2312"/>
                <w:sz w:val="28"/>
                <w:szCs w:val="28"/>
              </w:rPr>
              <w:t>意</w:t>
            </w:r>
          </w:p>
          <w:p>
            <w:pPr>
              <w:jc w:val="center"/>
              <w:rPr>
                <w:rFonts w:hint="default" w:ascii="Times New Roman" w:hAnsi="Times New Roman" w:eastAsia="仿宋_GB2312" w:cs="Times New Roman"/>
                <w:sz w:val="28"/>
                <w:szCs w:val="28"/>
              </w:rPr>
            </w:pPr>
            <w:r>
              <w:rPr>
                <w:rFonts w:hint="eastAsia" w:ascii="仿宋_GB2312" w:eastAsia="仿宋_GB2312"/>
                <w:sz w:val="28"/>
                <w:szCs w:val="28"/>
              </w:rPr>
              <w:t>见</w:t>
            </w:r>
          </w:p>
        </w:tc>
        <w:tc>
          <w:tcPr>
            <w:tcW w:w="6962" w:type="dxa"/>
            <w:gridSpan w:val="3"/>
            <w:shd w:val="clear" w:color="auto" w:fill="auto"/>
            <w:noWrap w:val="0"/>
            <w:vAlign w:val="center"/>
          </w:tcPr>
          <w:p>
            <w:pPr>
              <w:spacing w:line="360" w:lineRule="auto"/>
              <w:ind w:firstLine="4900" w:firstLineChars="1750"/>
              <w:rPr>
                <w:rFonts w:hint="eastAsia" w:ascii="仿宋_GB2312" w:eastAsia="仿宋_GB2312"/>
                <w:sz w:val="28"/>
                <w:szCs w:val="28"/>
              </w:rPr>
            </w:pPr>
          </w:p>
          <w:p>
            <w:pPr>
              <w:spacing w:line="360" w:lineRule="auto"/>
              <w:ind w:firstLine="4900" w:firstLineChars="1750"/>
              <w:rPr>
                <w:rFonts w:hint="eastAsia" w:ascii="仿宋_GB2312" w:eastAsia="仿宋_GB2312"/>
                <w:sz w:val="28"/>
                <w:szCs w:val="28"/>
              </w:rPr>
            </w:pPr>
          </w:p>
          <w:p>
            <w:pPr>
              <w:spacing w:line="360" w:lineRule="auto"/>
              <w:ind w:firstLine="4900" w:firstLineChars="1750"/>
              <w:rPr>
                <w:rFonts w:hint="eastAsia" w:ascii="仿宋_GB2312" w:eastAsia="仿宋_GB2312"/>
                <w:sz w:val="28"/>
                <w:szCs w:val="28"/>
              </w:rPr>
            </w:pPr>
          </w:p>
          <w:p>
            <w:pPr>
              <w:spacing w:line="360" w:lineRule="auto"/>
              <w:ind w:firstLine="4900" w:firstLineChars="1750"/>
              <w:rPr>
                <w:rFonts w:hint="eastAsia" w:ascii="仿宋_GB2312" w:eastAsia="仿宋_GB2312"/>
                <w:sz w:val="28"/>
                <w:szCs w:val="28"/>
              </w:rPr>
            </w:pPr>
            <w:r>
              <w:rPr>
                <w:rFonts w:hint="eastAsia" w:ascii="仿宋_GB2312" w:eastAsia="仿宋_GB2312"/>
                <w:sz w:val="28"/>
                <w:szCs w:val="28"/>
              </w:rPr>
              <w:t>（盖章）</w:t>
            </w:r>
          </w:p>
          <w:p>
            <w:pPr>
              <w:ind w:firstLine="700" w:firstLineChars="250"/>
              <w:rPr>
                <w:rFonts w:ascii="仿宋_GB2312" w:eastAsia="仿宋_GB2312"/>
                <w:sz w:val="28"/>
                <w:szCs w:val="28"/>
              </w:rPr>
            </w:pPr>
            <w:r>
              <w:rPr>
                <w:rFonts w:hint="eastAsia" w:ascii="仿宋_GB2312" w:eastAsia="仿宋_GB2312"/>
                <w:sz w:val="28"/>
                <w:szCs w:val="28"/>
              </w:rPr>
              <w:t xml:space="preserve">                            年   月  </w:t>
            </w:r>
            <w:r>
              <w:rPr>
                <w:rFonts w:ascii="仿宋_GB2312" w:eastAsia="仿宋_GB2312"/>
                <w:sz w:val="28"/>
                <w:szCs w:val="28"/>
              </w:rPr>
              <w:t xml:space="preserve"> </w:t>
            </w:r>
            <w:r>
              <w:rPr>
                <w:rFonts w:hint="eastAsia" w:ascii="仿宋_GB2312" w:eastAsia="仿宋_GB2312"/>
                <w:sz w:val="28"/>
                <w:szCs w:val="28"/>
              </w:rPr>
              <w:t>日</w:t>
            </w:r>
          </w:p>
          <w:p>
            <w:pPr>
              <w:jc w:val="center"/>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单</w:t>
            </w:r>
          </w:p>
          <w:p>
            <w:pPr>
              <w:jc w:val="center"/>
              <w:rPr>
                <w:rFonts w:hint="eastAsia" w:ascii="仿宋_GB2312" w:eastAsia="仿宋_GB2312"/>
                <w:sz w:val="28"/>
                <w:szCs w:val="28"/>
              </w:rPr>
            </w:pPr>
            <w:r>
              <w:rPr>
                <w:rFonts w:hint="eastAsia" w:ascii="仿宋_GB2312" w:eastAsia="仿宋_GB2312"/>
                <w:sz w:val="28"/>
                <w:szCs w:val="28"/>
              </w:rPr>
              <w:t>位</w:t>
            </w:r>
          </w:p>
          <w:p>
            <w:pPr>
              <w:jc w:val="center"/>
              <w:rPr>
                <w:rFonts w:hint="eastAsia" w:ascii="仿宋_GB2312" w:eastAsia="仿宋_GB2312"/>
                <w:sz w:val="28"/>
                <w:szCs w:val="28"/>
              </w:rPr>
            </w:pPr>
            <w:r>
              <w:rPr>
                <w:rFonts w:hint="eastAsia" w:ascii="仿宋_GB2312" w:eastAsia="仿宋_GB2312"/>
                <w:sz w:val="28"/>
                <w:szCs w:val="28"/>
              </w:rPr>
              <w:t>党</w:t>
            </w:r>
          </w:p>
          <w:p>
            <w:pPr>
              <w:jc w:val="center"/>
              <w:rPr>
                <w:rFonts w:hint="eastAsia" w:ascii="仿宋_GB2312" w:eastAsia="仿宋_GB2312"/>
                <w:sz w:val="28"/>
                <w:szCs w:val="28"/>
              </w:rPr>
            </w:pPr>
            <w:r>
              <w:rPr>
                <w:rFonts w:hint="eastAsia" w:ascii="仿宋_GB2312" w:eastAsia="仿宋_GB2312"/>
                <w:sz w:val="28"/>
                <w:szCs w:val="28"/>
              </w:rPr>
              <w:t>委</w:t>
            </w:r>
          </w:p>
          <w:p>
            <w:pPr>
              <w:jc w:val="center"/>
              <w:rPr>
                <w:rFonts w:hint="eastAsia" w:ascii="仿宋_GB2312" w:eastAsia="仿宋_GB2312"/>
                <w:sz w:val="28"/>
                <w:szCs w:val="28"/>
              </w:rPr>
            </w:pPr>
            <w:r>
              <w:rPr>
                <w:rFonts w:hint="eastAsia" w:ascii="仿宋_GB2312" w:eastAsia="仿宋_GB2312"/>
                <w:sz w:val="28"/>
                <w:szCs w:val="28"/>
              </w:rPr>
              <w:t>意</w:t>
            </w:r>
          </w:p>
          <w:p>
            <w:pPr>
              <w:jc w:val="center"/>
              <w:rPr>
                <w:rFonts w:hint="default" w:ascii="Times New Roman" w:hAnsi="Times New Roman" w:eastAsia="仿宋_GB2312" w:cs="Times New Roman"/>
                <w:sz w:val="28"/>
                <w:szCs w:val="28"/>
              </w:rPr>
            </w:pPr>
            <w:r>
              <w:rPr>
                <w:rFonts w:hint="eastAsia" w:ascii="仿宋_GB2312" w:eastAsia="仿宋_GB2312"/>
                <w:sz w:val="28"/>
                <w:szCs w:val="28"/>
              </w:rPr>
              <w:t>见</w:t>
            </w:r>
          </w:p>
        </w:tc>
        <w:tc>
          <w:tcPr>
            <w:tcW w:w="6962" w:type="dxa"/>
            <w:gridSpan w:val="3"/>
            <w:shd w:val="clear" w:color="auto" w:fill="auto"/>
            <w:noWrap w:val="0"/>
            <w:vAlign w:val="center"/>
          </w:tcPr>
          <w:p>
            <w:pPr>
              <w:spacing w:line="360" w:lineRule="auto"/>
              <w:ind w:firstLine="4900" w:firstLineChars="1750"/>
              <w:rPr>
                <w:rFonts w:hint="eastAsia" w:ascii="仿宋_GB2312" w:eastAsia="仿宋_GB2312"/>
                <w:sz w:val="28"/>
                <w:szCs w:val="28"/>
              </w:rPr>
            </w:pPr>
          </w:p>
          <w:p>
            <w:pPr>
              <w:spacing w:line="360" w:lineRule="auto"/>
              <w:ind w:firstLine="4900" w:firstLineChars="1750"/>
              <w:rPr>
                <w:rFonts w:hint="eastAsia" w:ascii="仿宋_GB2312" w:eastAsia="仿宋_GB2312"/>
                <w:sz w:val="28"/>
                <w:szCs w:val="28"/>
              </w:rPr>
            </w:pPr>
          </w:p>
          <w:p>
            <w:pPr>
              <w:spacing w:line="360" w:lineRule="auto"/>
              <w:ind w:firstLine="4900" w:firstLineChars="1750"/>
              <w:rPr>
                <w:rFonts w:hint="eastAsia" w:ascii="仿宋_GB2312" w:eastAsia="仿宋_GB2312"/>
                <w:sz w:val="28"/>
                <w:szCs w:val="28"/>
              </w:rPr>
            </w:pPr>
          </w:p>
          <w:p>
            <w:pPr>
              <w:spacing w:line="360" w:lineRule="auto"/>
              <w:ind w:firstLine="4900" w:firstLineChars="1750"/>
              <w:rPr>
                <w:rFonts w:hint="eastAsia" w:ascii="仿宋_GB2312" w:eastAsia="仿宋_GB2312"/>
                <w:sz w:val="28"/>
                <w:szCs w:val="28"/>
              </w:rPr>
            </w:pPr>
            <w:r>
              <w:rPr>
                <w:rFonts w:hint="eastAsia" w:ascii="仿宋_GB2312" w:eastAsia="仿宋_GB2312"/>
                <w:sz w:val="28"/>
                <w:szCs w:val="28"/>
              </w:rPr>
              <w:t>（盖章）</w:t>
            </w:r>
          </w:p>
          <w:p>
            <w:pPr>
              <w:ind w:firstLine="700" w:firstLineChars="250"/>
              <w:rPr>
                <w:rFonts w:hint="default" w:ascii="Times New Roman" w:hAnsi="Times New Roman" w:eastAsia="仿宋_GB2312" w:cs="Times New Roman"/>
                <w:sz w:val="28"/>
                <w:szCs w:val="28"/>
                <w:lang w:val="en-US" w:eastAsia="zh-CN"/>
              </w:rPr>
            </w:pPr>
            <w:r>
              <w:rPr>
                <w:rFonts w:hint="eastAsia" w:ascii="仿宋_GB2312" w:eastAsia="仿宋_GB2312"/>
                <w:sz w:val="28"/>
                <w:szCs w:val="28"/>
              </w:rPr>
              <w:t xml:space="preserve">                            年   月  </w:t>
            </w:r>
            <w:r>
              <w:rPr>
                <w:rFonts w:ascii="仿宋_GB2312" w:eastAsia="仿宋_GB2312"/>
                <w:sz w:val="28"/>
                <w:szCs w:val="28"/>
              </w:rPr>
              <w:t xml:space="preserve"> </w:t>
            </w:r>
            <w:r>
              <w:rPr>
                <w:rFonts w:hint="eastAsia" w:ascii="仿宋_GB2312"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直属</w:t>
            </w:r>
          </w:p>
          <w:p>
            <w:pPr>
              <w:jc w:val="center"/>
              <w:rPr>
                <w:rFonts w:hint="eastAsia" w:ascii="仿宋_GB2312" w:eastAsia="仿宋_GB2312"/>
                <w:sz w:val="28"/>
                <w:szCs w:val="28"/>
              </w:rPr>
            </w:pPr>
            <w:r>
              <w:rPr>
                <w:rFonts w:hint="eastAsia" w:ascii="仿宋_GB2312" w:eastAsia="仿宋_GB2312"/>
                <w:sz w:val="28"/>
                <w:szCs w:val="28"/>
              </w:rPr>
              <w:t>单位</w:t>
            </w:r>
          </w:p>
          <w:p>
            <w:pPr>
              <w:jc w:val="center"/>
              <w:rPr>
                <w:rFonts w:hint="eastAsia" w:ascii="仿宋_GB2312" w:eastAsia="仿宋_GB2312"/>
                <w:sz w:val="28"/>
                <w:szCs w:val="28"/>
              </w:rPr>
            </w:pPr>
            <w:r>
              <w:rPr>
                <w:rFonts w:hint="eastAsia" w:ascii="仿宋_GB2312" w:eastAsia="仿宋_GB2312"/>
                <w:sz w:val="28"/>
                <w:szCs w:val="28"/>
              </w:rPr>
              <w:t>党委</w:t>
            </w:r>
          </w:p>
          <w:p>
            <w:pPr>
              <w:jc w:val="center"/>
              <w:rPr>
                <w:rFonts w:hint="default" w:ascii="Times New Roman" w:hAnsi="Times New Roman" w:eastAsia="仿宋_GB2312" w:cs="Times New Roman"/>
                <w:sz w:val="28"/>
                <w:szCs w:val="28"/>
              </w:rPr>
            </w:pPr>
            <w:r>
              <w:rPr>
                <w:rFonts w:hint="eastAsia" w:ascii="仿宋_GB2312" w:eastAsia="仿宋_GB2312"/>
                <w:sz w:val="28"/>
                <w:szCs w:val="28"/>
              </w:rPr>
              <w:t>意见</w:t>
            </w:r>
          </w:p>
        </w:tc>
        <w:tc>
          <w:tcPr>
            <w:tcW w:w="6962" w:type="dxa"/>
            <w:gridSpan w:val="3"/>
            <w:shd w:val="clear" w:color="auto" w:fill="auto"/>
            <w:noWrap w:val="0"/>
            <w:vAlign w:val="center"/>
          </w:tcPr>
          <w:p>
            <w:pPr>
              <w:spacing w:line="360" w:lineRule="auto"/>
              <w:ind w:firstLine="4900" w:firstLineChars="1750"/>
              <w:rPr>
                <w:rFonts w:hint="eastAsia" w:ascii="仿宋_GB2312" w:eastAsia="仿宋_GB2312"/>
                <w:sz w:val="28"/>
                <w:szCs w:val="28"/>
              </w:rPr>
            </w:pPr>
          </w:p>
          <w:p>
            <w:pPr>
              <w:spacing w:line="360" w:lineRule="auto"/>
              <w:ind w:firstLine="4900" w:firstLineChars="1750"/>
              <w:rPr>
                <w:rFonts w:hint="eastAsia" w:ascii="仿宋_GB2312" w:eastAsia="仿宋_GB2312"/>
                <w:sz w:val="28"/>
                <w:szCs w:val="28"/>
              </w:rPr>
            </w:pPr>
          </w:p>
          <w:p>
            <w:pPr>
              <w:spacing w:line="360" w:lineRule="auto"/>
              <w:ind w:firstLine="4900" w:firstLineChars="1750"/>
              <w:rPr>
                <w:rFonts w:hint="eastAsia" w:ascii="仿宋_GB2312" w:eastAsia="仿宋_GB2312"/>
                <w:sz w:val="28"/>
                <w:szCs w:val="28"/>
              </w:rPr>
            </w:pPr>
            <w:r>
              <w:rPr>
                <w:rFonts w:hint="eastAsia" w:ascii="仿宋_GB2312" w:eastAsia="仿宋_GB2312"/>
                <w:sz w:val="28"/>
                <w:szCs w:val="28"/>
              </w:rPr>
              <w:t>（盖章）</w:t>
            </w:r>
          </w:p>
          <w:p>
            <w:pPr>
              <w:ind w:firstLine="700" w:firstLineChars="250"/>
              <w:rPr>
                <w:rFonts w:hint="default" w:ascii="Times New Roman" w:hAnsi="Times New Roman" w:eastAsia="仿宋_GB2312" w:cs="Times New Roman"/>
                <w:sz w:val="28"/>
                <w:szCs w:val="28"/>
                <w:lang w:val="en-US" w:eastAsia="zh-CN"/>
              </w:rPr>
            </w:pPr>
            <w:r>
              <w:rPr>
                <w:rFonts w:hint="eastAsia" w:ascii="仿宋_GB2312" w:eastAsia="仿宋_GB2312"/>
                <w:sz w:val="28"/>
                <w:szCs w:val="28"/>
              </w:rPr>
              <w:t xml:space="preserve">                            年   月  </w:t>
            </w:r>
            <w:r>
              <w:rPr>
                <w:rFonts w:ascii="仿宋_GB2312" w:eastAsia="仿宋_GB2312"/>
                <w:sz w:val="28"/>
                <w:szCs w:val="28"/>
              </w:rPr>
              <w:t xml:space="preserve"> </w:t>
            </w:r>
            <w:r>
              <w:rPr>
                <w:rFonts w:hint="eastAsia" w:ascii="仿宋_GB2312"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备</w:t>
            </w:r>
          </w:p>
          <w:p>
            <w:pPr>
              <w:jc w:val="center"/>
              <w:rPr>
                <w:rFonts w:hint="eastAsia" w:ascii="仿宋_GB2312" w:eastAsia="仿宋_GB2312"/>
                <w:sz w:val="28"/>
                <w:szCs w:val="28"/>
              </w:rPr>
            </w:pPr>
          </w:p>
          <w:p>
            <w:pPr>
              <w:jc w:val="center"/>
              <w:rPr>
                <w:rFonts w:hint="default" w:ascii="Times New Roman" w:hAnsi="Times New Roman" w:eastAsia="仿宋_GB2312" w:cs="Times New Roman"/>
                <w:sz w:val="28"/>
                <w:szCs w:val="28"/>
              </w:rPr>
            </w:pPr>
            <w:r>
              <w:rPr>
                <w:rFonts w:hint="eastAsia" w:ascii="仿宋_GB2312" w:eastAsia="仿宋_GB2312"/>
                <w:sz w:val="28"/>
                <w:szCs w:val="28"/>
              </w:rPr>
              <w:t>注</w:t>
            </w:r>
          </w:p>
        </w:tc>
        <w:tc>
          <w:tcPr>
            <w:tcW w:w="6962" w:type="dxa"/>
            <w:gridSpan w:val="3"/>
            <w:shd w:val="clear" w:color="auto" w:fill="auto"/>
            <w:noWrap w:val="0"/>
            <w:vAlign w:val="center"/>
          </w:tcPr>
          <w:p>
            <w:pPr>
              <w:jc w:val="center"/>
              <w:rPr>
                <w:rFonts w:hint="default" w:ascii="Times New Roman" w:hAnsi="Times New Roman" w:eastAsia="仿宋_GB2312" w:cs="Times New Roman"/>
                <w:sz w:val="28"/>
                <w:szCs w:val="28"/>
                <w:lang w:val="en-US"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20F65"/>
    <w:multiLevelType w:val="singleLevel"/>
    <w:tmpl w:val="81D20F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E0699"/>
    <w:rsid w:val="04C63A19"/>
    <w:rsid w:val="0C664DD6"/>
    <w:rsid w:val="148E0699"/>
    <w:rsid w:val="20033303"/>
    <w:rsid w:val="280B0D06"/>
    <w:rsid w:val="29D936B2"/>
    <w:rsid w:val="3D0950CE"/>
    <w:rsid w:val="55963B17"/>
    <w:rsid w:val="613E67B7"/>
    <w:rsid w:val="693251F4"/>
    <w:rsid w:val="696644DF"/>
    <w:rsid w:val="717C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2020-05-15T00:08:00Z</dcterms:created>
  <dc:creator>username</dc:creator>
  <cp:lastModifiedBy>username</cp:lastModifiedBy>
  <dcterms:modified xsi:type="dcterms:W3CDTF">2020-05-15T04:23:23Z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